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F6" w:rsidRPr="00621DF6" w:rsidRDefault="00621DF6" w:rsidP="00621DF6">
      <w:pPr>
        <w:pStyle w:val="a5"/>
        <w:spacing w:line="300" w:lineRule="atLeast"/>
        <w:jc w:val="center"/>
        <w:rPr>
          <w:rFonts w:ascii="黑体" w:eastAsia="黑体" w:hAnsi="黑体" w:hint="eastAsia"/>
          <w:color w:val="5D6264"/>
          <w:sz w:val="28"/>
          <w:szCs w:val="28"/>
          <w:shd w:val="clear" w:color="auto" w:fill="FFFFFF"/>
        </w:rPr>
      </w:pPr>
      <w:r w:rsidRPr="00621DF6">
        <w:rPr>
          <w:rFonts w:ascii="黑体" w:eastAsia="黑体" w:hAnsi="黑体" w:hint="eastAsia"/>
          <w:b/>
          <w:bCs/>
          <w:color w:val="5D6264"/>
          <w:sz w:val="28"/>
          <w:szCs w:val="28"/>
          <w:shd w:val="clear" w:color="auto" w:fill="FFFFFF"/>
        </w:rPr>
        <w:t>全国教育科学规划课题资金管理办法（2017年7月修订）</w:t>
      </w:r>
    </w:p>
    <w:p w:rsidR="00621DF6" w:rsidRDefault="00621DF6" w:rsidP="00621DF6">
      <w:pPr>
        <w:pStyle w:val="a5"/>
        <w:spacing w:line="300" w:lineRule="atLeast"/>
        <w:jc w:val="center"/>
        <w:rPr>
          <w:rFonts w:ascii="仿宋" w:eastAsia="仿宋" w:hAnsi="仿宋"/>
          <w:color w:val="5D6264"/>
          <w:sz w:val="21"/>
          <w:szCs w:val="21"/>
          <w:shd w:val="clear" w:color="auto" w:fill="FFFFFF"/>
        </w:rPr>
      </w:pPr>
      <w:r>
        <w:rPr>
          <w:rFonts w:ascii="黑体" w:eastAsia="黑体" w:hAnsi="黑体" w:hint="eastAsia"/>
          <w:color w:val="5D6264"/>
          <w:sz w:val="27"/>
          <w:szCs w:val="27"/>
          <w:shd w:val="clear" w:color="auto" w:fill="FFFFFF"/>
        </w:rPr>
        <w:t>第一章</w:t>
      </w:r>
      <w:r>
        <w:rPr>
          <w:rFonts w:hint="eastAsia"/>
          <w:color w:val="5D6264"/>
          <w:sz w:val="27"/>
          <w:szCs w:val="27"/>
          <w:shd w:val="clear" w:color="auto" w:fill="FFFFFF"/>
        </w:rPr>
        <w:t> </w:t>
      </w:r>
      <w:r>
        <w:rPr>
          <w:rFonts w:ascii="黑体" w:eastAsia="黑体" w:hAnsi="黑体" w:cs="黑体" w:hint="eastAsia"/>
          <w:color w:val="5D6264"/>
          <w:sz w:val="27"/>
          <w:szCs w:val="27"/>
          <w:shd w:val="clear" w:color="auto" w:fill="FFFFFF"/>
        </w:rPr>
        <w:t xml:space="preserve"> </w:t>
      </w:r>
      <w:r>
        <w:rPr>
          <w:rFonts w:ascii="黑体" w:eastAsia="黑体" w:hAnsi="黑体" w:hint="eastAsia"/>
          <w:color w:val="5D6264"/>
          <w:sz w:val="27"/>
          <w:szCs w:val="27"/>
          <w:shd w:val="clear" w:color="auto" w:fill="FFFFFF"/>
        </w:rPr>
        <w:t>总 则</w:t>
      </w:r>
    </w:p>
    <w:p w:rsidR="00621DF6" w:rsidRDefault="00621DF6" w:rsidP="00621DF6">
      <w:pPr>
        <w:pStyle w:val="a5"/>
        <w:spacing w:line="300" w:lineRule="atLeast"/>
        <w:rPr>
          <w:rFonts w:ascii="仿宋" w:eastAsia="仿宋" w:hAnsi="仿宋" w:hint="eastAsia"/>
          <w:color w:val="5D6264"/>
          <w:sz w:val="21"/>
          <w:szCs w:val="21"/>
          <w:shd w:val="clear" w:color="auto" w:fill="FFFFFF"/>
        </w:rPr>
      </w:pP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第一条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为了规范全国教育科学规划课题资金的使用和管理，提高资金使用效益，根据《国家社会科学基金项目资金管理办法》，结合《全国教育科学规划课题管理办法》的有关规定，制定本办法。</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第二条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全国教育科学规划课题资金来源于国家财政拨款，是用于资助教育科学研究，促进教育科学繁荣发展、人才培养和队伍建设的专项资金。</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第三条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全国教育科学规划课题资金管理，应当以出优秀成果、出人才为目标，坚持以人为本、遵循规律、依法规范、公正合理和安全高效的原则。</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第四条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课题责任单位是课题资金管理的责任主体，负责课题资金的日常管理和监督。</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第五条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课题负责人是课题资金使用的直接责任人，对资金使用的合规性、合理性、真实性和相关性承担法律责任。</w:t>
      </w:r>
    </w:p>
    <w:p w:rsidR="00621DF6" w:rsidRDefault="00621DF6" w:rsidP="00621DF6">
      <w:pPr>
        <w:pStyle w:val="a5"/>
        <w:spacing w:line="300" w:lineRule="atLeast"/>
        <w:jc w:val="center"/>
        <w:rPr>
          <w:rFonts w:ascii="仿宋" w:eastAsia="仿宋" w:hAnsi="仿宋" w:hint="eastAsia"/>
          <w:color w:val="5D6264"/>
          <w:sz w:val="21"/>
          <w:szCs w:val="21"/>
          <w:shd w:val="clear" w:color="auto" w:fill="FFFFFF"/>
        </w:rPr>
      </w:pPr>
      <w:r>
        <w:rPr>
          <w:rFonts w:ascii="黑体" w:eastAsia="黑体" w:hAnsi="黑体" w:hint="eastAsia"/>
          <w:color w:val="5D6264"/>
          <w:sz w:val="27"/>
          <w:szCs w:val="27"/>
          <w:shd w:val="clear" w:color="auto" w:fill="FFFFFF"/>
        </w:rPr>
        <w:t>第二章</w:t>
      </w:r>
      <w:r>
        <w:rPr>
          <w:rFonts w:hint="eastAsia"/>
          <w:color w:val="5D6264"/>
          <w:sz w:val="27"/>
          <w:szCs w:val="27"/>
          <w:shd w:val="clear" w:color="auto" w:fill="FFFFFF"/>
        </w:rPr>
        <w:t> </w:t>
      </w:r>
      <w:r>
        <w:rPr>
          <w:rFonts w:ascii="黑体" w:eastAsia="黑体" w:hAnsi="黑体" w:cs="黑体" w:hint="eastAsia"/>
          <w:color w:val="5D6264"/>
          <w:sz w:val="27"/>
          <w:szCs w:val="27"/>
          <w:shd w:val="clear" w:color="auto" w:fill="FFFFFF"/>
        </w:rPr>
        <w:t xml:space="preserve"> </w:t>
      </w:r>
      <w:r>
        <w:rPr>
          <w:rFonts w:ascii="黑体" w:eastAsia="黑体" w:hAnsi="黑体" w:hint="eastAsia"/>
          <w:color w:val="5D6264"/>
          <w:sz w:val="27"/>
          <w:szCs w:val="27"/>
          <w:shd w:val="clear" w:color="auto" w:fill="FFFFFF"/>
        </w:rPr>
        <w:t>课题资金开支范围</w:t>
      </w:r>
    </w:p>
    <w:p w:rsidR="00621DF6" w:rsidRDefault="00621DF6" w:rsidP="00621DF6">
      <w:pPr>
        <w:pStyle w:val="a5"/>
        <w:spacing w:line="300" w:lineRule="atLeast"/>
        <w:rPr>
          <w:rFonts w:ascii="仿宋" w:eastAsia="仿宋" w:hAnsi="仿宋" w:hint="eastAsia"/>
          <w:color w:val="5D6264"/>
          <w:sz w:val="21"/>
          <w:szCs w:val="21"/>
          <w:shd w:val="clear" w:color="auto" w:fill="FFFFFF"/>
        </w:rPr>
      </w:pP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第六条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课题资金支出是指在课题组织实施过程中与研究活动相关的、由课题资金支付的各项费用支出。国家重大、国家重点、委托课题、国家一般和青年课题、西部课题（以下简称国家级课题）资金分为直接费用和间接费用。教育部重点、教育部青年课题（以下简称教育部</w:t>
      </w:r>
      <w:r>
        <w:rPr>
          <w:rFonts w:ascii="仿宋_GB2312" w:eastAsia="仿宋_GB2312" w:hAnsi="仿宋" w:hint="eastAsia"/>
          <w:color w:val="5D6264"/>
          <w:sz w:val="27"/>
          <w:szCs w:val="27"/>
          <w:shd w:val="clear" w:color="auto" w:fill="FFFFFF"/>
        </w:rPr>
        <w:lastRenderedPageBreak/>
        <w:t>级课题）资金参照国家级课题资金支出办法执行。</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Style w:val="a6"/>
          <w:rFonts w:ascii="仿宋_GB2312" w:eastAsia="仿宋_GB2312" w:hAnsi="仿宋" w:hint="eastAsia"/>
          <w:color w:val="5D6264"/>
          <w:sz w:val="27"/>
          <w:szCs w:val="27"/>
          <w:shd w:val="clear" w:color="auto" w:fill="FFFFFF"/>
        </w:rPr>
        <w:t xml:space="preserve"> 第七条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直接费用是指在课题研究过程中发生的与之直接相关的费用，具体包括：</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(一)</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资料费：指在课题研究过程中需要支付的图书（包括外文图书）购置费，资料收集、整理、复印、翻拍、翻译费，专用软件购买费，文献检索费等。</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(二)</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数据采集费：指在课题研究过程中发生的调查、访谈、数据购买、数据分析及相应技术服务购买等支出的费用。</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(三)</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会议费/差旅费/国际合作与交流费：指在课题研究过程中开展学术研讨、咨询交流、考察调研等活动而发生的会议、交通、食宿等费用，以及课题研究人员出国及赴港澳台、外国专家来华及港澳台专家来内地开展学术合作与交流的费用。其中，不超过直接费用20%的，不需要提供预算测算依据。</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(四)</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设备费：指在课题研究过程中购置设备和设备耗材、升级维护现有设备以及租用外单位设备而发生的费用。</w:t>
      </w:r>
      <w:r>
        <w:rPr>
          <w:rFonts w:ascii="仿宋_GB2312" w:eastAsia="仿宋_GB2312" w:hAnsi="仿宋" w:hint="eastAsia"/>
          <w:color w:val="5D6264"/>
          <w:sz w:val="27"/>
          <w:szCs w:val="27"/>
          <w:shd w:val="clear" w:color="auto" w:fill="FFFFFF"/>
        </w:rPr>
        <w:br/>
        <w:t>应当严格控制设备购置，鼓励共享、租赁以及对现有设备进行升级。</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(五)</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专家咨询费：指在课题研究过程中支付给临时聘请的咨询专家的费用。</w:t>
      </w:r>
      <w:r>
        <w:rPr>
          <w:rFonts w:ascii="仿宋_GB2312" w:eastAsia="仿宋_GB2312" w:hAnsi="仿宋" w:hint="eastAsia"/>
          <w:color w:val="5D6264"/>
          <w:sz w:val="27"/>
          <w:szCs w:val="27"/>
          <w:shd w:val="clear" w:color="auto" w:fill="FFFFFF"/>
        </w:rPr>
        <w:br/>
        <w:t>专家咨询费预算由课题负责人按照课题研究实际需要编制，支出标准按照国家有关规定执行。</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(六)</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劳务费：指在课题研究过程中支付给参与课题研究的研究生、博士后、访问学者以及课题聘用的研究人员、科研辅助人员等的劳</w:t>
      </w:r>
      <w:r>
        <w:rPr>
          <w:rFonts w:ascii="仿宋_GB2312" w:eastAsia="仿宋_GB2312" w:hAnsi="仿宋" w:hint="eastAsia"/>
          <w:color w:val="5D6264"/>
          <w:sz w:val="27"/>
          <w:szCs w:val="27"/>
          <w:shd w:val="clear" w:color="auto" w:fill="FFFFFF"/>
        </w:rPr>
        <w:lastRenderedPageBreak/>
        <w:t>务费用。</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课题聘用人员的劳务费开支标准，参照当地科学研究和技术服务业人员平均工资水平以及在课题研究中承担的工作任务确定，其社会保险补助费用纳入劳务费列支。劳务费预算应根据课题研究实际需要编制。</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(七)</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印刷出版费：指在课题研究过程中支付的打印费、印刷费及阶段性成果出版费等。</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(八)</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其他支出：课题研究过程中发生的除上述费用之外的其他支出，应当在编制预算时单独列示，单独核定。</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直接费用应当纳入责任单位财务统一管理，单独核算，专款专用。</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第八条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间接费用是指责任单位在组织实施课题过程中发生的无法在直接费用中列支的相关费用，主要用于补偿责任单位为课题研究提供的现有仪器设备及房屋、水、电、气、暖消耗等间接成本，有关管理费用，以及激励科研人员的绩效支出等。</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间接费用一般按照不超过课题资助总额的一定比例核定。具体比例如下：50万元及以下部分为30%；超过50万元至500万元的部分为20%；超过500万元的部分为13%。</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间接费用核定应当与责任单位信用等级挂钩，具体管理规定另行制定。</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第九条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间接费用由责任单位统筹管理使用。责任单位应当处理好合理分摊间接成本和对科研人员激励的关系，根据科研人员在课题工作中的实际贡献，结合课题研究进度和完成质量，在核定的间接费用范围内，公开公正安排绩效支出，充分发挥绩效支出的激励作用。</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lastRenderedPageBreak/>
        <w:t>  </w:t>
      </w:r>
      <w:r>
        <w:rPr>
          <w:rFonts w:ascii="仿宋_GB2312" w:eastAsia="仿宋_GB2312" w:hAnsi="仿宋" w:hint="eastAsia"/>
          <w:color w:val="5D6264"/>
          <w:sz w:val="27"/>
          <w:szCs w:val="27"/>
          <w:shd w:val="clear" w:color="auto" w:fill="FFFFFF"/>
        </w:rPr>
        <w:t xml:space="preserve"> 责任单位不得在核定的间接费用以外再以任何名义在课题资金中重复提取、列支相关费用。</w:t>
      </w:r>
    </w:p>
    <w:p w:rsidR="00621DF6" w:rsidRDefault="00621DF6" w:rsidP="00621DF6">
      <w:pPr>
        <w:pStyle w:val="a5"/>
        <w:spacing w:line="300" w:lineRule="atLeast"/>
        <w:jc w:val="center"/>
        <w:rPr>
          <w:rFonts w:ascii="仿宋" w:eastAsia="仿宋" w:hAnsi="仿宋" w:hint="eastAsia"/>
          <w:color w:val="5D6264"/>
          <w:sz w:val="21"/>
          <w:szCs w:val="21"/>
          <w:shd w:val="clear" w:color="auto" w:fill="FFFFFF"/>
        </w:rPr>
      </w:pPr>
      <w:r>
        <w:rPr>
          <w:rFonts w:ascii="黑体" w:eastAsia="黑体" w:hAnsi="黑体" w:hint="eastAsia"/>
          <w:color w:val="5D6264"/>
          <w:sz w:val="27"/>
          <w:szCs w:val="27"/>
          <w:shd w:val="clear" w:color="auto" w:fill="FFFFFF"/>
        </w:rPr>
        <w:t>第三章</w:t>
      </w:r>
      <w:r>
        <w:rPr>
          <w:rFonts w:hint="eastAsia"/>
          <w:color w:val="5D6264"/>
          <w:sz w:val="27"/>
          <w:szCs w:val="27"/>
          <w:shd w:val="clear" w:color="auto" w:fill="FFFFFF"/>
        </w:rPr>
        <w:t> </w:t>
      </w:r>
      <w:r>
        <w:rPr>
          <w:rFonts w:ascii="黑体" w:eastAsia="黑体" w:hAnsi="黑体" w:cs="黑体" w:hint="eastAsia"/>
          <w:color w:val="5D6264"/>
          <w:sz w:val="27"/>
          <w:szCs w:val="27"/>
          <w:shd w:val="clear" w:color="auto" w:fill="FFFFFF"/>
        </w:rPr>
        <w:t xml:space="preserve"> </w:t>
      </w:r>
      <w:r>
        <w:rPr>
          <w:rFonts w:ascii="黑体" w:eastAsia="黑体" w:hAnsi="黑体" w:hint="eastAsia"/>
          <w:color w:val="5D6264"/>
          <w:sz w:val="27"/>
          <w:szCs w:val="27"/>
          <w:shd w:val="clear" w:color="auto" w:fill="FFFFFF"/>
        </w:rPr>
        <w:t>预算的编制与审核</w:t>
      </w:r>
    </w:p>
    <w:p w:rsidR="00621DF6" w:rsidRDefault="00621DF6" w:rsidP="00621DF6">
      <w:pPr>
        <w:pStyle w:val="a5"/>
        <w:spacing w:line="300" w:lineRule="atLeast"/>
        <w:rPr>
          <w:rFonts w:ascii="仿宋" w:eastAsia="仿宋" w:hAnsi="仿宋" w:hint="eastAsia"/>
          <w:color w:val="5D6264"/>
          <w:sz w:val="21"/>
          <w:szCs w:val="21"/>
          <w:shd w:val="clear" w:color="auto" w:fill="FFFFFF"/>
        </w:rPr>
      </w:pP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第十条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课题负责人应当按照目标相关性、政策相符性和经济合理性原则，根据课题研究需要和资金开支范围，科学合理、实事求是地编制课题预算，并对直接费用支出的主要用途和测算理由等作出说明。</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课题负责人应当在收到立项通知之日起30日内完成预算编制。无特殊情况，逾期不提交视为自动放弃资助。</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第十一条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国家级课题预算经责任单位、所在省（自治区、直辖市）教育科学规划领导小组办公室（以下简称省区市教科规划办）、直属高校等委托管理机构审核并签署意见后，提交全国教育科学规划领导小组办公室（以下简称全国教科规划办）审核。未通过审核的，应当按要求调整后重新上报。审核通过后，课题启动资金将拨付至责任单位，由责任单位统一管理。教育部级课题预算提交责任单位，由责任单位负责审核。</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第十二条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跨单位合作的课题，确需外拨资金的，应当在课题预算中单独列示，并附外拨资金直接费用支出预算。间接费用外拨金额，由责任单位和合作研究单位协商确定。</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责任单位应当及时按照合作研究协议和审核通过的课题预算转拨合作研究单位资金。</w:t>
      </w:r>
    </w:p>
    <w:p w:rsidR="00621DF6" w:rsidRDefault="00621DF6" w:rsidP="00621DF6">
      <w:pPr>
        <w:pStyle w:val="a5"/>
        <w:spacing w:line="300" w:lineRule="atLeast"/>
        <w:jc w:val="center"/>
        <w:rPr>
          <w:rFonts w:ascii="仿宋" w:eastAsia="仿宋" w:hAnsi="仿宋" w:hint="eastAsia"/>
          <w:color w:val="5D6264"/>
          <w:sz w:val="21"/>
          <w:szCs w:val="21"/>
          <w:shd w:val="clear" w:color="auto" w:fill="FFFFFF"/>
        </w:rPr>
      </w:pPr>
      <w:r>
        <w:rPr>
          <w:rFonts w:ascii="黑体" w:eastAsia="黑体" w:hAnsi="黑体" w:hint="eastAsia"/>
          <w:color w:val="5D6264"/>
          <w:sz w:val="27"/>
          <w:szCs w:val="27"/>
          <w:shd w:val="clear" w:color="auto" w:fill="FFFFFF"/>
        </w:rPr>
        <w:t>第四章</w:t>
      </w:r>
      <w:r>
        <w:rPr>
          <w:rFonts w:hint="eastAsia"/>
          <w:color w:val="5D6264"/>
          <w:sz w:val="27"/>
          <w:szCs w:val="27"/>
          <w:shd w:val="clear" w:color="auto" w:fill="FFFFFF"/>
        </w:rPr>
        <w:t> </w:t>
      </w:r>
      <w:r>
        <w:rPr>
          <w:rFonts w:ascii="黑体" w:eastAsia="黑体" w:hAnsi="黑体" w:cs="黑体" w:hint="eastAsia"/>
          <w:color w:val="5D6264"/>
          <w:sz w:val="27"/>
          <w:szCs w:val="27"/>
          <w:shd w:val="clear" w:color="auto" w:fill="FFFFFF"/>
        </w:rPr>
        <w:t xml:space="preserve"> </w:t>
      </w:r>
      <w:r>
        <w:rPr>
          <w:rFonts w:ascii="黑体" w:eastAsia="黑体" w:hAnsi="黑体" w:hint="eastAsia"/>
          <w:color w:val="5D6264"/>
          <w:sz w:val="27"/>
          <w:szCs w:val="27"/>
          <w:shd w:val="clear" w:color="auto" w:fill="FFFFFF"/>
        </w:rPr>
        <w:t>预算执行与决算</w:t>
      </w:r>
    </w:p>
    <w:p w:rsidR="00621DF6" w:rsidRDefault="00621DF6" w:rsidP="00621DF6">
      <w:pPr>
        <w:pStyle w:val="a5"/>
        <w:spacing w:line="300" w:lineRule="atLeast"/>
        <w:rPr>
          <w:rFonts w:ascii="仿宋" w:eastAsia="仿宋" w:hAnsi="仿宋" w:hint="eastAsia"/>
          <w:color w:val="5D6264"/>
          <w:sz w:val="21"/>
          <w:szCs w:val="21"/>
          <w:shd w:val="clear" w:color="auto" w:fill="FFFFFF"/>
        </w:rPr>
      </w:pPr>
      <w:r>
        <w:rPr>
          <w:rFonts w:hint="eastAsia"/>
          <w:color w:val="5D6264"/>
          <w:sz w:val="27"/>
          <w:szCs w:val="27"/>
          <w:shd w:val="clear" w:color="auto" w:fill="FFFFFF"/>
        </w:rPr>
        <w:lastRenderedPageBreak/>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第十三条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课题负责人应当严格执行批准后的课题预算。确需调剂的，应当按规定报批。</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第十四条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课题预算有以下情况需要调剂的，由课题负责人提出申请，经责任单位、所在省区市教科规划办或直属高校等委托管理机构审核同意后，报全国教科规划办审批。教育部级课题由责任单位负责审批。</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(一)</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由于研究内容或者研究计划作出重大调整等原因，需要增加或减少课题预算总额。</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(二)</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原课题预算未列示外拨资金，需要增列。</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第十五条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课题直接费用预算确需调剂的，按以下规定予以调整：</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(一)</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资料费、数据采集费、设备费、印刷出版费和其他支出预算需要调剂，由课题负责人提出申请，报责任单位审批。</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(二)</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会议费/差旅费/国际合作与交流费、专家咨询费、劳务费预算一般不予调增，需要调减用于课题其他方面支出，由课题负责人提出申请，报责任单位审批；如有特殊情况确需调增的，国家级课题由课题负责人提出申请，经责任单位、所在省区市教科规划办或直属高校等委托管理机构审核同意后，报全国教科规划办审批。教育部级课题由责任单位负责审批。</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课题间接费用预算不得调剂。</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责任单位应当按规定及时审批课题预算调剂事项申请。</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第十六条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全国教育科学规划课题资金实行预留资金制度，预留部分资金在课题成果通过审核验收后支付。未通过审核验收的课题，预</w:t>
      </w:r>
      <w:r>
        <w:rPr>
          <w:rFonts w:ascii="仿宋_GB2312" w:eastAsia="仿宋_GB2312" w:hAnsi="仿宋" w:hint="eastAsia"/>
          <w:color w:val="5D6264"/>
          <w:sz w:val="27"/>
          <w:szCs w:val="27"/>
          <w:shd w:val="clear" w:color="auto" w:fill="FFFFFF"/>
        </w:rPr>
        <w:lastRenderedPageBreak/>
        <w:t>留资金不予支付。</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课题资金属于政府采购范围的，应当按照政府采购有关规定执行。</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第十七条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对于野外考察、数据采集等科研活动中无法取得发票或财政性票据的支出，在确保真实性的前提下，责任单位可按实际发生额予以报销。</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第十八条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课题研究完成后，课题负责人应当会同科研、财务、审计、资产等管理部门及时清理账目与资产，如实编制《全国教育科学规划课题成果鉴定申请</w:t>
      </w:r>
      <w:r>
        <w:rPr>
          <w:rFonts w:hint="eastAsia"/>
          <w:color w:val="5D6264"/>
          <w:sz w:val="27"/>
          <w:szCs w:val="27"/>
          <w:shd w:val="clear" w:color="auto" w:fill="FFFFFF"/>
        </w:rPr>
        <w:t>•</w:t>
      </w:r>
      <w:r>
        <w:rPr>
          <w:rFonts w:ascii="仿宋_GB2312" w:eastAsia="仿宋_GB2312" w:hAnsi="仿宋_GB2312" w:cs="仿宋_GB2312" w:hint="eastAsia"/>
          <w:color w:val="5D6264"/>
          <w:sz w:val="27"/>
          <w:szCs w:val="27"/>
          <w:shd w:val="clear" w:color="auto" w:fill="FFFFFF"/>
        </w:rPr>
        <w:t>审批书》中的课题资助经</w:t>
      </w:r>
      <w:r>
        <w:rPr>
          <w:rFonts w:ascii="仿宋_GB2312" w:eastAsia="仿宋_GB2312" w:hAnsi="仿宋" w:hint="eastAsia"/>
          <w:color w:val="5D6264"/>
          <w:sz w:val="27"/>
          <w:szCs w:val="27"/>
          <w:shd w:val="clear" w:color="auto" w:fill="FFFFFF"/>
        </w:rPr>
        <w:t>费决算表，不得随意调账变动支出、随意修改记账凭证。</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有外拨资金的课题，外拨资金决算经合作研究单位财务、审计部门审核并签署意见后，由课题负责人汇总编制课题资金决算。</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第十九条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课题研究成果首次鉴定的费用由全国教科规划办专门经费支付（教育部级课题除外）。首次鉴定未通过需第二次鉴定的，鉴定费3000元从课题预留资金中扣除。</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第二十条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课题在研期间，年度剩余资金可以结转下一年度继续使用。课题研究成果完成并通过审核验收后，结余资金可用于课题最终成果出版及后续研究的直接支出。若课题研究成果通过审核验收2年后结余资金仍有剩余的，应当按原渠道退回全国教科规划办,结转下年统筹用于资助课题研究。</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lastRenderedPageBreak/>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第二十一条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对于因故被终止执行的课题的结余资金和因故被撤销的课题的已拨资金，责任单位应当在接到有关通知后30日内按原渠道退回全国教科规划办。</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第二十二条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课题实施过程中，使用课题资金形成的固定资产、无形资产等属于国有资产，应当按照国有资产管理的有关规定执行。</w:t>
      </w:r>
    </w:p>
    <w:p w:rsidR="00621DF6" w:rsidRDefault="00621DF6" w:rsidP="00621DF6">
      <w:pPr>
        <w:pStyle w:val="a5"/>
        <w:spacing w:line="300" w:lineRule="atLeast"/>
        <w:jc w:val="center"/>
        <w:rPr>
          <w:rFonts w:ascii="仿宋" w:eastAsia="仿宋" w:hAnsi="仿宋" w:hint="eastAsia"/>
          <w:color w:val="5D6264"/>
          <w:sz w:val="21"/>
          <w:szCs w:val="21"/>
          <w:shd w:val="clear" w:color="auto" w:fill="FFFFFF"/>
        </w:rPr>
      </w:pPr>
      <w:r>
        <w:rPr>
          <w:rFonts w:ascii="黑体" w:eastAsia="黑体" w:hAnsi="黑体" w:hint="eastAsia"/>
          <w:color w:val="5D6264"/>
          <w:sz w:val="27"/>
          <w:szCs w:val="27"/>
          <w:shd w:val="clear" w:color="auto" w:fill="FFFFFF"/>
        </w:rPr>
        <w:t>第五章</w:t>
      </w:r>
      <w:r>
        <w:rPr>
          <w:rFonts w:hint="eastAsia"/>
          <w:color w:val="5D6264"/>
          <w:sz w:val="27"/>
          <w:szCs w:val="27"/>
          <w:shd w:val="clear" w:color="auto" w:fill="FFFFFF"/>
        </w:rPr>
        <w:t> </w:t>
      </w:r>
      <w:r>
        <w:rPr>
          <w:rFonts w:ascii="黑体" w:eastAsia="黑体" w:hAnsi="黑体" w:cs="黑体" w:hint="eastAsia"/>
          <w:color w:val="5D6264"/>
          <w:sz w:val="27"/>
          <w:szCs w:val="27"/>
          <w:shd w:val="clear" w:color="auto" w:fill="FFFFFF"/>
        </w:rPr>
        <w:t xml:space="preserve"> </w:t>
      </w:r>
      <w:r>
        <w:rPr>
          <w:rFonts w:ascii="黑体" w:eastAsia="黑体" w:hAnsi="黑体" w:hint="eastAsia"/>
          <w:color w:val="5D6264"/>
          <w:sz w:val="27"/>
          <w:szCs w:val="27"/>
          <w:shd w:val="clear" w:color="auto" w:fill="FFFFFF"/>
        </w:rPr>
        <w:t>管理与监督</w:t>
      </w:r>
    </w:p>
    <w:p w:rsidR="00621DF6" w:rsidRDefault="00621DF6" w:rsidP="00621DF6">
      <w:pPr>
        <w:pStyle w:val="a5"/>
        <w:spacing w:line="300" w:lineRule="atLeast"/>
        <w:rPr>
          <w:rFonts w:ascii="仿宋" w:eastAsia="仿宋" w:hAnsi="仿宋" w:hint="eastAsia"/>
          <w:color w:val="5D6264"/>
          <w:sz w:val="21"/>
          <w:szCs w:val="21"/>
          <w:shd w:val="clear" w:color="auto" w:fill="FFFFFF"/>
        </w:rPr>
      </w:pP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第二十三条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课题负责人应当依法依规使用课题资金，不得擅自调整外拨资金，不得利用虚假票据套取资金，不得通过编造虚假劳务合同、虚构人员名单等方式虚报冒领劳务费和专家咨询费，不得使用课题资金支付各种罚款、捐款、赞助、投资等。</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课题负责人使用课题资金情况应当自觉接受有关部门的监督检查。</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第二十四条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责任单位应当制定课题资金内部管理办法，明确审批程序、管理要求和报销规定，落实课题预算调剂、间接费用统筹使用、劳务费分配管理、结余资金使用等管理权限。</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责任单位应当加强课题预算审核把关，规范财务支出行为，完善内部风险防控机制，强化资金使用绩效评价，保障资金使用安全规范有效。</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责任单位课题资金管理和使用情况，要自觉接受国家财政、审计、监察部门和全国教科规划办的监督检查。责任单位应当积极配合，如实反映情况，提供有关资料。</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责任单位应当建立健全科研财务助理制度，为科研人员在课题预</w:t>
      </w:r>
      <w:r>
        <w:rPr>
          <w:rFonts w:ascii="仿宋_GB2312" w:eastAsia="仿宋_GB2312" w:hAnsi="仿宋" w:hint="eastAsia"/>
          <w:color w:val="5D6264"/>
          <w:sz w:val="27"/>
          <w:szCs w:val="27"/>
          <w:shd w:val="clear" w:color="auto" w:fill="FFFFFF"/>
        </w:rPr>
        <w:lastRenderedPageBreak/>
        <w:t>算编制和调剂、经费支出、课题资金决算和验收等方面提供专业化服务。</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责任单位应当充分利用信息化手段，建立健全单位内部科研、财务、课题负责人共享的信息平台，提高科研管理效率和便利化程度。</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第二十五条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省区市教科规划办、直属高校等委托管理机构应当根据各自实际，对本地区、本系统、本单位课题负责人的资金使用和管理情况进行不定期检查或专项审计。发现问题的，应当及时督促整改，并向全国教科规划办报告。</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第二十六条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全国教科规划办应当建立课题资金使用和管理情况的检查、审计、监督长效机制，建立课题资金绩效评价和结果应用制度，加强课题资金使用效益评估。</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第二十七条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建立课题资金使用和管理的承诺机制，责任单位应当承诺依法依规履行课题资金管理的职责，课题负责人应当承诺提供真实的课题信息并认真遵守课题资金管理的有关规定。</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第二十八条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建立课题资金使用和管理的信用机制，全国教科规划办对责任单位和课题负责人在课题资金使用和管理方面的信誉度进行评价和记录，作为对责任单位和课题负责人今后资助的重要依据。</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第二十九条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建立课题资金使用和管理的信息公开机制，责任单位和课题负责人应当在单位内部公开课题预算、预算调剂、决算、课题组人员构成、设备购置、外拨资金、劳务费发放以及间接费用和结余资金使用等情况，自觉接受监督。</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第三十条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对于被终止或撤项的课题，责任单位必须协助退回相应经费，如无正当理由，接到通知后超过三个月仍未退回的，全国教科</w:t>
      </w:r>
      <w:r>
        <w:rPr>
          <w:rFonts w:ascii="仿宋_GB2312" w:eastAsia="仿宋_GB2312" w:hAnsi="仿宋" w:hint="eastAsia"/>
          <w:color w:val="5D6264"/>
          <w:sz w:val="27"/>
          <w:szCs w:val="27"/>
          <w:shd w:val="clear" w:color="auto" w:fill="FFFFFF"/>
        </w:rPr>
        <w:lastRenderedPageBreak/>
        <w:t>规划办将追究责任单位的责任，情节特别严重的，将暂停课题申报并撤销课题相关管理资格。</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第三十一条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违反本办法规定的，依照《预算法》《财政违法行为处罚处分条例》等国家有关规定追究法律责任。涉嫌犯罪的，依法移送司法机关处理。</w:t>
      </w:r>
    </w:p>
    <w:p w:rsidR="00621DF6" w:rsidRDefault="00621DF6" w:rsidP="00621DF6">
      <w:pPr>
        <w:pStyle w:val="a5"/>
        <w:spacing w:line="300" w:lineRule="atLeast"/>
        <w:jc w:val="center"/>
        <w:rPr>
          <w:rFonts w:ascii="仿宋" w:eastAsia="仿宋" w:hAnsi="仿宋" w:hint="eastAsia"/>
          <w:color w:val="5D6264"/>
          <w:sz w:val="21"/>
          <w:szCs w:val="21"/>
          <w:shd w:val="clear" w:color="auto" w:fill="FFFFFF"/>
        </w:rPr>
      </w:pPr>
      <w:r>
        <w:rPr>
          <w:rFonts w:ascii="黑体" w:eastAsia="黑体" w:hAnsi="黑体" w:hint="eastAsia"/>
          <w:color w:val="5D6264"/>
          <w:sz w:val="27"/>
          <w:szCs w:val="27"/>
          <w:shd w:val="clear" w:color="auto" w:fill="FFFFFF"/>
        </w:rPr>
        <w:t>第六章</w:t>
      </w:r>
      <w:r>
        <w:rPr>
          <w:rFonts w:hint="eastAsia"/>
          <w:color w:val="5D6264"/>
          <w:sz w:val="27"/>
          <w:szCs w:val="27"/>
          <w:shd w:val="clear" w:color="auto" w:fill="FFFFFF"/>
        </w:rPr>
        <w:t> </w:t>
      </w:r>
      <w:r>
        <w:rPr>
          <w:rFonts w:ascii="黑体" w:eastAsia="黑体" w:hAnsi="黑体" w:cs="黑体" w:hint="eastAsia"/>
          <w:color w:val="5D6264"/>
          <w:sz w:val="27"/>
          <w:szCs w:val="27"/>
          <w:shd w:val="clear" w:color="auto" w:fill="FFFFFF"/>
        </w:rPr>
        <w:t xml:space="preserve"> </w:t>
      </w:r>
      <w:r>
        <w:rPr>
          <w:rFonts w:ascii="黑体" w:eastAsia="黑体" w:hAnsi="黑体" w:hint="eastAsia"/>
          <w:color w:val="5D6264"/>
          <w:sz w:val="27"/>
          <w:szCs w:val="27"/>
          <w:shd w:val="clear" w:color="auto" w:fill="FFFFFF"/>
        </w:rPr>
        <w:t>附 则</w:t>
      </w:r>
    </w:p>
    <w:p w:rsidR="00621DF6" w:rsidRDefault="00621DF6" w:rsidP="00621DF6">
      <w:pPr>
        <w:pStyle w:val="a5"/>
        <w:spacing w:line="300" w:lineRule="atLeast"/>
        <w:rPr>
          <w:rFonts w:ascii="仿宋" w:eastAsia="仿宋" w:hAnsi="仿宋" w:hint="eastAsia"/>
          <w:color w:val="5D6264"/>
          <w:sz w:val="21"/>
          <w:szCs w:val="21"/>
          <w:shd w:val="clear" w:color="auto" w:fill="FFFFFF"/>
        </w:rPr>
      </w:pP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第三十二条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本办法的解释权和修改权属全国教科规划办。国防军事教育学科规划课题的资金管理参照此办法执行。</w:t>
      </w:r>
      <w:r>
        <w:rPr>
          <w:rFonts w:ascii="仿宋_GB2312" w:eastAsia="仿宋_GB2312" w:hAnsi="仿宋" w:hint="eastAsia"/>
          <w:color w:val="5D6264"/>
          <w:sz w:val="27"/>
          <w:szCs w:val="27"/>
          <w:shd w:val="clear" w:color="auto" w:fill="FFFFFF"/>
        </w:rPr>
        <w:br/>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 xml:space="preserve"> </w:t>
      </w:r>
      <w:r>
        <w:rPr>
          <w:rStyle w:val="a6"/>
          <w:rFonts w:ascii="仿宋_GB2312" w:eastAsia="仿宋_GB2312" w:hAnsi="仿宋" w:hint="eastAsia"/>
          <w:color w:val="5D6264"/>
          <w:sz w:val="27"/>
          <w:szCs w:val="27"/>
          <w:shd w:val="clear" w:color="auto" w:fill="FFFFFF"/>
        </w:rPr>
        <w:t>第三十三条</w:t>
      </w:r>
      <w:r>
        <w:rPr>
          <w:rFonts w:hint="eastAsia"/>
          <w:color w:val="5D6264"/>
          <w:sz w:val="27"/>
          <w:szCs w:val="27"/>
          <w:shd w:val="clear" w:color="auto" w:fill="FFFFFF"/>
        </w:rPr>
        <w:t> </w:t>
      </w:r>
      <w:r>
        <w:rPr>
          <w:rFonts w:ascii="仿宋_GB2312" w:eastAsia="仿宋_GB2312" w:hAnsi="仿宋" w:hint="eastAsia"/>
          <w:color w:val="5D6264"/>
          <w:sz w:val="27"/>
          <w:szCs w:val="27"/>
          <w:shd w:val="clear" w:color="auto" w:fill="FFFFFF"/>
        </w:rPr>
        <w:t>本办法自发布之日起开始施行。本办法施行前的有关规定，凡与本办法不符的，均以本办法为准。</w:t>
      </w:r>
    </w:p>
    <w:p w:rsidR="0062239F" w:rsidRPr="00621DF6" w:rsidRDefault="0062239F"/>
    <w:sectPr w:rsidR="0062239F" w:rsidRPr="00621D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39F" w:rsidRDefault="0062239F" w:rsidP="00621DF6">
      <w:r>
        <w:separator/>
      </w:r>
    </w:p>
  </w:endnote>
  <w:endnote w:type="continuationSeparator" w:id="1">
    <w:p w:rsidR="0062239F" w:rsidRDefault="0062239F" w:rsidP="00621D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39F" w:rsidRDefault="0062239F" w:rsidP="00621DF6">
      <w:r>
        <w:separator/>
      </w:r>
    </w:p>
  </w:footnote>
  <w:footnote w:type="continuationSeparator" w:id="1">
    <w:p w:rsidR="0062239F" w:rsidRDefault="0062239F" w:rsidP="00621D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1DF6"/>
    <w:rsid w:val="00621DF6"/>
    <w:rsid w:val="00622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1D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1DF6"/>
    <w:rPr>
      <w:sz w:val="18"/>
      <w:szCs w:val="18"/>
    </w:rPr>
  </w:style>
  <w:style w:type="paragraph" w:styleId="a4">
    <w:name w:val="footer"/>
    <w:basedOn w:val="a"/>
    <w:link w:val="Char0"/>
    <w:uiPriority w:val="99"/>
    <w:semiHidden/>
    <w:unhideWhenUsed/>
    <w:rsid w:val="00621D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1DF6"/>
    <w:rPr>
      <w:sz w:val="18"/>
      <w:szCs w:val="18"/>
    </w:rPr>
  </w:style>
  <w:style w:type="paragraph" w:styleId="a5">
    <w:name w:val="Normal (Web)"/>
    <w:basedOn w:val="a"/>
    <w:uiPriority w:val="99"/>
    <w:semiHidden/>
    <w:unhideWhenUsed/>
    <w:rsid w:val="00621DF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21D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710</Words>
  <Characters>4052</Characters>
  <Application>Microsoft Office Word</Application>
  <DocSecurity>0</DocSecurity>
  <Lines>33</Lines>
  <Paragraphs>9</Paragraphs>
  <ScaleCrop>false</ScaleCrop>
  <Company>Microsoft</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王宁</dc:creator>
  <cp:keywords/>
  <dc:description/>
  <cp:lastModifiedBy>王宁</cp:lastModifiedBy>
  <cp:revision>2</cp:revision>
  <dcterms:created xsi:type="dcterms:W3CDTF">2017-11-21T06:27:00Z</dcterms:created>
  <dcterms:modified xsi:type="dcterms:W3CDTF">2017-11-21T06:28:00Z</dcterms:modified>
</cp:coreProperties>
</file>